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3A" w:rsidRPr="006D4958" w:rsidRDefault="00AF3E3A" w:rsidP="00AF3E3A">
      <w:pPr>
        <w:jc w:val="center"/>
        <w:rPr>
          <w:b/>
          <w:bCs/>
        </w:rPr>
      </w:pPr>
      <w:r w:rsidRPr="006D4958">
        <w:rPr>
          <w:b/>
          <w:bCs/>
        </w:rPr>
        <w:t>Gárdony Város Önkormányzat Képviselő-testületének</w:t>
      </w:r>
    </w:p>
    <w:p w:rsidR="00AF3E3A" w:rsidRPr="006D4958" w:rsidRDefault="00AF3E3A" w:rsidP="00AF3E3A">
      <w:pPr>
        <w:jc w:val="center"/>
      </w:pPr>
      <w:r w:rsidRPr="006D4958">
        <w:rPr>
          <w:b/>
          <w:bCs/>
        </w:rPr>
        <w:t>…./2017. (</w:t>
      </w:r>
      <w:proofErr w:type="gramStart"/>
      <w:r w:rsidRPr="006D4958">
        <w:rPr>
          <w:b/>
          <w:bCs/>
        </w:rPr>
        <w:t>………..</w:t>
      </w:r>
      <w:proofErr w:type="gramEnd"/>
      <w:r w:rsidRPr="006D4958">
        <w:rPr>
          <w:b/>
          <w:bCs/>
        </w:rPr>
        <w:t>) önkormányzati rendelete</w:t>
      </w:r>
    </w:p>
    <w:p w:rsidR="00AF3E3A" w:rsidRPr="006D4958" w:rsidRDefault="00AF3E3A" w:rsidP="00AF3E3A">
      <w:pPr>
        <w:jc w:val="center"/>
        <w:rPr>
          <w:b/>
          <w:bCs/>
        </w:rPr>
      </w:pPr>
      <w:r w:rsidRPr="006D4958">
        <w:rPr>
          <w:b/>
          <w:bCs/>
        </w:rPr>
        <w:t>Gárdony Város Építési Szabályzatáról szóló 3/2009. (I. 28.) önkormányzati rendelete módosításáról</w:t>
      </w:r>
    </w:p>
    <w:p w:rsidR="00AF3E3A" w:rsidRPr="006D4958" w:rsidRDefault="00AF3E3A" w:rsidP="00AF3E3A">
      <w:pPr>
        <w:rPr>
          <w:b/>
          <w:bCs/>
        </w:rPr>
      </w:pPr>
    </w:p>
    <w:p w:rsidR="00AF3E3A" w:rsidRPr="006D4958" w:rsidRDefault="00AF3E3A" w:rsidP="00AF3E3A">
      <w:pPr>
        <w:jc w:val="both"/>
        <w:rPr>
          <w:b/>
          <w:bCs/>
        </w:rPr>
      </w:pPr>
    </w:p>
    <w:p w:rsidR="00AF3E3A" w:rsidRPr="006D4958" w:rsidRDefault="00AF3E3A" w:rsidP="00AF3E3A">
      <w:pPr>
        <w:jc w:val="both"/>
        <w:rPr>
          <w:b/>
          <w:bCs/>
        </w:rPr>
      </w:pPr>
    </w:p>
    <w:p w:rsidR="00AF3E3A" w:rsidRPr="006D4958" w:rsidRDefault="00AF3E3A" w:rsidP="00AF3E3A">
      <w:pPr>
        <w:snapToGrid w:val="0"/>
        <w:jc w:val="both"/>
      </w:pPr>
      <w:r w:rsidRPr="006D4958">
        <w:t xml:space="preserve">Gárdony Város Önkormányzatának Képviselő-testülete az épített környezet alakításáról és védelméről szóló 1997. évi LXXVIII. törvény 62. § (6) bekezdés 6.) pontjában kapott felhatalmazás alapján, az Alaptörvény 32. cikk (1) bekezdés a) pontjában, valamint az épített környezet alakításáról és védelméről szóló 1997. évi LXXVIII. törvény 6. § (1) bekezdésben meghatározott feladatkörében eljárva, az épített környezet alakításáról és védelméről szóló 1997. évi LXXVIII. törvény 8. § (2) bekezdésében biztosított véleményezési jogkörében eljáró  Fejér Megyei Kormányhivatal Állami Főépítésze, a Fejér Megyei Katasztrófavédelmi Igazgatóság vízügyi és vízgazdálkodási hatósági jogkörben, a Fejér Megyei Katasztrófavédelmi Igazgatóság, az Országos Vízügyi Főigazgatóság, a Közép-Dunántúli Vízügyi Igazgatóság, a Duna-Ipoly Nemzeti Park Igazgatósága, Budapest Főváros Kormányhivatal Közlekedésfelügyeleti Főosztály Útügyi Osztály, Nemzeti Fejlesztési Minisztérium Útügyi, Vasúti és Hajózási Hivatal, Nemzeti Fejlesztési Minisztérium Légügyi Hivatala Fejér Megyei Kormányhivatal Székesfehérvári Járási Hivatal Hatósági Főosztály Építésügyi és Örökségvédelmi Osztály a Székesfehérvári Járási Hivatal Járási Építésügyi és Örökségvédelmi Hivatala, a Fejér Megyei Kormányhivatal Földhivatala, a Fejér Megyei Kormányhivatal Népegészségügyi Főosztálya, a Fejér Megyei Kormányhivatal Környezetvédelmi és Természetvédelmi Főosztály, a Honvédelmi Minisztérium Hatósági Hivatala, a Pest Megyei Kormányhivatal Érdi Járási Hivatala </w:t>
      </w:r>
      <w:hyperlink r:id="rId6" w:history="1">
        <w:r w:rsidRPr="006D4958">
          <w:t>Földművelésügyi és Erdőgazdálkodási Főosztály</w:t>
        </w:r>
      </w:hyperlink>
      <w:r w:rsidRPr="006D4958">
        <w:t xml:space="preserve"> Erdőfelügyeleti Osztály, a Székesfehérvári Megyei Rendőr-főkapitányság, a Veszprém Megyei Kormányhivatal Hatósági Főosztály Bányászati Osztály, a Nemzeti Média és Hírközlési Hatóság Hivatala Országos Atomenergia Hivatal Országos Tisztifőorvosi Hivatal véleményének kikérésével a következőket rendeli el: </w:t>
      </w:r>
    </w:p>
    <w:p w:rsidR="00AF3E3A" w:rsidRPr="006D4958" w:rsidRDefault="00AF3E3A" w:rsidP="00AF3E3A">
      <w:pPr>
        <w:pStyle w:val="Default"/>
        <w:jc w:val="both"/>
        <w:rPr>
          <w:color w:val="auto"/>
        </w:rPr>
      </w:pPr>
    </w:p>
    <w:p w:rsidR="00AF3E3A" w:rsidRPr="006D4958" w:rsidRDefault="00AF3E3A" w:rsidP="00AF3E3A">
      <w:pPr>
        <w:pStyle w:val="Default"/>
        <w:jc w:val="both"/>
        <w:rPr>
          <w:color w:val="auto"/>
        </w:rPr>
      </w:pPr>
    </w:p>
    <w:p w:rsidR="00AF3E3A" w:rsidRPr="006D4958" w:rsidRDefault="00AF3E3A" w:rsidP="00AF3E3A">
      <w:pPr>
        <w:pStyle w:val="Default"/>
        <w:jc w:val="both"/>
        <w:rPr>
          <w:color w:val="auto"/>
        </w:rPr>
      </w:pPr>
    </w:p>
    <w:p w:rsidR="00AF3E3A" w:rsidRPr="006D4958" w:rsidRDefault="00AF3E3A" w:rsidP="00AF3E3A">
      <w:pPr>
        <w:pStyle w:val="Default"/>
        <w:jc w:val="both"/>
        <w:rPr>
          <w:color w:val="auto"/>
        </w:rPr>
      </w:pPr>
      <w:r w:rsidRPr="006D4958">
        <w:rPr>
          <w:b/>
          <w:bCs/>
          <w:color w:val="auto"/>
        </w:rPr>
        <w:t>1. §</w:t>
      </w:r>
      <w:r w:rsidRPr="006D4958">
        <w:rPr>
          <w:color w:val="auto"/>
        </w:rPr>
        <w:t xml:space="preserve"> Gárdony Város Önkormányzatának Gárdony Város Építési Szabályzatáról szóló 3/2009. (I. 28.) önkormányzati rendelete (a továbbiakban: Rendelet) 1. § (3) bekezdése kiegészül az alábbi rendelkezésekkel:</w:t>
      </w:r>
    </w:p>
    <w:p w:rsidR="00AF3E3A" w:rsidRPr="006D4958" w:rsidRDefault="00AF3E3A" w:rsidP="00AF3E3A">
      <w:pPr>
        <w:pStyle w:val="Default"/>
        <w:jc w:val="both"/>
        <w:rPr>
          <w:color w:val="auto"/>
        </w:rPr>
      </w:pPr>
    </w:p>
    <w:p w:rsidR="00AF3E3A" w:rsidRPr="006D4958" w:rsidRDefault="00AF3E3A" w:rsidP="00AF3E3A">
      <w:pPr>
        <w:spacing w:after="20"/>
        <w:ind w:left="539" w:firstLine="180"/>
        <w:rPr>
          <w:rFonts w:ascii="Times" w:hAnsi="Times" w:cs="Times"/>
          <w:lang w:eastAsia="hu-HU"/>
        </w:rPr>
      </w:pPr>
      <w:r w:rsidRPr="006D4958">
        <w:rPr>
          <w:rFonts w:ascii="Times" w:hAnsi="Times" w:cs="Times"/>
          <w:lang w:eastAsia="hu-HU"/>
        </w:rPr>
        <w:t>„</w:t>
      </w:r>
      <w:bookmarkStart w:id="0" w:name="_ftnref_159"/>
      <w:r w:rsidRPr="006D4958">
        <w:rPr>
          <w:rFonts w:ascii="Times" w:hAnsi="Times" w:cs="Times"/>
          <w:lang w:eastAsia="hu-HU"/>
        </w:rPr>
        <w:t>(3)</w:t>
      </w:r>
      <w:bookmarkEnd w:id="0"/>
      <w:r w:rsidRPr="006D4958">
        <w:rPr>
          <w:rFonts w:ascii="Times" w:hAnsi="Times" w:cs="Times"/>
          <w:lang w:eastAsia="hu-HU"/>
        </w:rPr>
        <w:t>….</w:t>
      </w:r>
    </w:p>
    <w:p w:rsidR="00AF3E3A" w:rsidRDefault="00AF3E3A" w:rsidP="00AF3E3A">
      <w:pPr>
        <w:spacing w:after="20"/>
        <w:ind w:left="539" w:firstLine="180"/>
        <w:rPr>
          <w:rFonts w:ascii="Times" w:hAnsi="Times" w:cs="Times"/>
          <w:lang w:eastAsia="hu-HU"/>
        </w:rPr>
      </w:pPr>
      <w:r w:rsidRPr="006D4958">
        <w:rPr>
          <w:rFonts w:ascii="Times" w:hAnsi="Times" w:cs="Times"/>
          <w:lang w:eastAsia="hu-HU"/>
        </w:rPr>
        <w:t xml:space="preserve">A Rendelet mellékletét képező 4.4/1, 7.2/1/M és a 7.2/3/M tervlapok helyébe a </w:t>
      </w:r>
    </w:p>
    <w:p w:rsidR="00AF3E3A" w:rsidRPr="006D4958" w:rsidRDefault="00AF3E3A" w:rsidP="00AF3E3A">
      <w:pPr>
        <w:spacing w:after="20"/>
        <w:ind w:left="539" w:firstLine="180"/>
        <w:rPr>
          <w:rFonts w:ascii="Times" w:hAnsi="Times" w:cs="Times"/>
          <w:lang w:eastAsia="hu-HU"/>
        </w:rPr>
      </w:pPr>
      <w:r>
        <w:rPr>
          <w:rFonts w:ascii="Times" w:hAnsi="Times" w:cs="Times"/>
          <w:lang w:eastAsia="hu-HU"/>
        </w:rPr>
        <w:t>4.4/1/M, 7.2/1/</w:t>
      </w:r>
      <w:r w:rsidRPr="006D4958">
        <w:rPr>
          <w:rFonts w:ascii="Times" w:hAnsi="Times" w:cs="Times"/>
          <w:lang w:eastAsia="hu-HU"/>
        </w:rPr>
        <w:t>M</w:t>
      </w:r>
      <w:r>
        <w:rPr>
          <w:rFonts w:ascii="Times" w:hAnsi="Times" w:cs="Times"/>
          <w:lang w:eastAsia="hu-HU"/>
        </w:rPr>
        <w:t>2 és a 7.2/3/</w:t>
      </w:r>
      <w:r w:rsidRPr="006D4958">
        <w:rPr>
          <w:rFonts w:ascii="Times" w:hAnsi="Times" w:cs="Times"/>
          <w:lang w:eastAsia="hu-HU"/>
        </w:rPr>
        <w:t>M</w:t>
      </w:r>
      <w:r>
        <w:rPr>
          <w:rFonts w:ascii="Times" w:hAnsi="Times" w:cs="Times"/>
          <w:lang w:eastAsia="hu-HU"/>
        </w:rPr>
        <w:t>2</w:t>
      </w:r>
      <w:r w:rsidRPr="006D4958">
        <w:rPr>
          <w:rFonts w:ascii="Times" w:hAnsi="Times" w:cs="Times"/>
          <w:lang w:eastAsia="hu-HU"/>
        </w:rPr>
        <w:t xml:space="preserve"> jelű módosított tervlapok kerülnek.</w:t>
      </w:r>
      <w:r w:rsidRPr="006D4958">
        <w:rPr>
          <w:lang w:eastAsia="hu-HU"/>
        </w:rPr>
        <w:t>”</w:t>
      </w:r>
    </w:p>
    <w:p w:rsidR="00AF3E3A" w:rsidRPr="006D4958" w:rsidRDefault="00AF3E3A" w:rsidP="00AF3E3A">
      <w:pPr>
        <w:pStyle w:val="Default"/>
        <w:ind w:left="720"/>
        <w:jc w:val="both"/>
        <w:rPr>
          <w:color w:val="auto"/>
        </w:rPr>
      </w:pPr>
    </w:p>
    <w:p w:rsidR="00AF3E3A" w:rsidRPr="006D4958" w:rsidRDefault="00AF3E3A" w:rsidP="00AF3E3A">
      <w:pPr>
        <w:pStyle w:val="Default"/>
        <w:jc w:val="both"/>
        <w:rPr>
          <w:color w:val="auto"/>
        </w:rPr>
      </w:pPr>
      <w:r w:rsidRPr="006D4958">
        <w:rPr>
          <w:b/>
          <w:color w:val="auto"/>
        </w:rPr>
        <w:t>2.§</w:t>
      </w:r>
      <w:r w:rsidRPr="006D4958">
        <w:rPr>
          <w:color w:val="auto"/>
        </w:rPr>
        <w:t xml:space="preserve"> A R. 23. § (1) bekezdése helyébe az alábbi rendelkezések lépnek:</w:t>
      </w:r>
    </w:p>
    <w:p w:rsidR="00AF3E3A" w:rsidRPr="006D4958" w:rsidRDefault="00AF3E3A" w:rsidP="00AF3E3A">
      <w:pPr>
        <w:spacing w:after="20"/>
        <w:ind w:left="567" w:firstLine="180"/>
        <w:rPr>
          <w:rFonts w:ascii="Times" w:hAnsi="Times" w:cs="Times"/>
          <w:lang w:eastAsia="hu-HU"/>
        </w:rPr>
      </w:pPr>
      <w:r w:rsidRPr="006D4958">
        <w:t xml:space="preserve">„.. </w:t>
      </w:r>
      <w:r w:rsidRPr="006D4958">
        <w:rPr>
          <w:rFonts w:ascii="Times" w:hAnsi="Times" w:cs="Times"/>
          <w:i/>
          <w:iCs/>
          <w:lang w:eastAsia="hu-HU"/>
        </w:rPr>
        <w:t>Z2 jelű zöldterület</w:t>
      </w:r>
    </w:p>
    <w:p w:rsidR="00AF3E3A" w:rsidRPr="006D4958" w:rsidRDefault="00AF3E3A" w:rsidP="00AF3E3A">
      <w:pPr>
        <w:spacing w:after="20"/>
        <w:ind w:left="567" w:firstLine="180"/>
        <w:rPr>
          <w:rFonts w:ascii="Times" w:hAnsi="Times" w:cs="Times"/>
          <w:lang w:eastAsia="hu-HU"/>
        </w:rPr>
      </w:pPr>
      <w:r w:rsidRPr="006D4958">
        <w:rPr>
          <w:rFonts w:ascii="Times" w:hAnsi="Times" w:cs="Times"/>
          <w:lang w:eastAsia="hu-HU"/>
        </w:rPr>
        <w:t>(1) Z2 jelű zöldterületen a következő építmények és épületek helyezhetők el.</w:t>
      </w:r>
    </w:p>
    <w:p w:rsidR="00AF3E3A" w:rsidRPr="006D4958" w:rsidRDefault="00AF3E3A" w:rsidP="00AF3E3A">
      <w:pPr>
        <w:spacing w:after="20"/>
        <w:ind w:left="900" w:firstLine="180"/>
        <w:rPr>
          <w:rFonts w:ascii="Times" w:hAnsi="Times" w:cs="Times"/>
          <w:lang w:eastAsia="hu-HU"/>
        </w:rPr>
      </w:pPr>
      <w:r w:rsidRPr="006D4958">
        <w:rPr>
          <w:rFonts w:ascii="Times" w:hAnsi="Times" w:cs="Times"/>
          <w:lang w:eastAsia="hu-HU"/>
        </w:rPr>
        <w:t>- a pihenést, testedzést szolgáló építmény</w:t>
      </w:r>
    </w:p>
    <w:p w:rsidR="00AF3E3A" w:rsidRPr="006D4958" w:rsidRDefault="00AF3E3A" w:rsidP="00AF3E3A">
      <w:pPr>
        <w:spacing w:after="20"/>
        <w:ind w:left="900" w:firstLine="180"/>
        <w:rPr>
          <w:rFonts w:ascii="Times" w:hAnsi="Times" w:cs="Times"/>
          <w:lang w:eastAsia="hu-HU"/>
        </w:rPr>
      </w:pPr>
      <w:r w:rsidRPr="006D4958">
        <w:rPr>
          <w:rFonts w:ascii="Times" w:hAnsi="Times" w:cs="Times"/>
          <w:lang w:eastAsia="hu-HU"/>
        </w:rPr>
        <w:t>- vendéglátó épület</w:t>
      </w:r>
    </w:p>
    <w:p w:rsidR="00AF3E3A" w:rsidRPr="006D4958" w:rsidRDefault="00AF3E3A" w:rsidP="00AF3E3A">
      <w:pPr>
        <w:spacing w:after="20"/>
        <w:ind w:left="900" w:firstLine="180"/>
        <w:rPr>
          <w:rFonts w:ascii="Times" w:hAnsi="Times" w:cs="Times"/>
          <w:lang w:eastAsia="hu-HU"/>
        </w:rPr>
      </w:pPr>
      <w:r w:rsidRPr="006D4958">
        <w:rPr>
          <w:rFonts w:ascii="Times" w:hAnsi="Times" w:cs="Times"/>
          <w:lang w:eastAsia="hu-HU"/>
        </w:rPr>
        <w:t>- a terület fenntartásához szükséges épület.”</w:t>
      </w:r>
    </w:p>
    <w:p w:rsidR="00AF3E3A" w:rsidRPr="006D4958" w:rsidRDefault="00AF3E3A" w:rsidP="00AF3E3A">
      <w:pPr>
        <w:spacing w:after="20"/>
        <w:ind w:left="900" w:firstLine="180"/>
        <w:rPr>
          <w:rFonts w:ascii="Times" w:hAnsi="Times" w:cs="Times"/>
          <w:lang w:eastAsia="hu-HU"/>
        </w:rPr>
      </w:pPr>
    </w:p>
    <w:p w:rsidR="00AF3E3A" w:rsidRPr="006D4958" w:rsidRDefault="00AF3E3A" w:rsidP="00AF3E3A">
      <w:pPr>
        <w:suppressAutoHyphens w:val="0"/>
        <w:jc w:val="both"/>
        <w:rPr>
          <w:lang w:eastAsia="en-US"/>
        </w:rPr>
      </w:pPr>
      <w:r w:rsidRPr="006D4958">
        <w:rPr>
          <w:b/>
          <w:bCs/>
          <w:lang w:eastAsia="en-US"/>
        </w:rPr>
        <w:t>3. §</w:t>
      </w:r>
      <w:r w:rsidRPr="006D4958">
        <w:rPr>
          <w:lang w:eastAsia="en-US"/>
        </w:rPr>
        <w:t xml:space="preserve">  A R. 46. § (11) bekezdés g) pontja helyébe az alábbi rendelkezések lépnek:</w:t>
      </w:r>
    </w:p>
    <w:p w:rsidR="00AF3E3A" w:rsidRPr="006D4958" w:rsidRDefault="00AF3E3A" w:rsidP="00AF3E3A">
      <w:pPr>
        <w:spacing w:after="20"/>
        <w:ind w:left="1080" w:firstLine="180"/>
        <w:rPr>
          <w:rFonts w:ascii="Times" w:hAnsi="Times" w:cs="Times"/>
          <w:lang w:eastAsia="hu-HU"/>
        </w:rPr>
      </w:pPr>
      <w:r w:rsidRPr="006D4958">
        <w:t>„</w:t>
      </w:r>
      <w:r w:rsidRPr="006D4958">
        <w:rPr>
          <w:rFonts w:ascii="Times" w:hAnsi="Times" w:cs="Times"/>
          <w:lang w:eastAsia="hu-HU"/>
        </w:rPr>
        <w:t xml:space="preserve">g) A parti sávban a parttól számított min. 30m-en belül építmény csak a szabályozási terven kijelölt építési helyen belül építhető, a Z2 jelű közpark </w:t>
      </w:r>
      <w:r w:rsidRPr="006D4958">
        <w:rPr>
          <w:rFonts w:ascii="Times" w:hAnsi="Times" w:cs="Times"/>
          <w:lang w:eastAsia="hu-HU"/>
        </w:rPr>
        <w:lastRenderedPageBreak/>
        <w:t xml:space="preserve">területének </w:t>
      </w:r>
      <w:proofErr w:type="spellStart"/>
      <w:r w:rsidRPr="006D4958">
        <w:rPr>
          <w:rFonts w:ascii="Times" w:hAnsi="Times" w:cs="Times"/>
          <w:lang w:eastAsia="hu-HU"/>
        </w:rPr>
        <w:t>max</w:t>
      </w:r>
      <w:proofErr w:type="spellEnd"/>
      <w:r w:rsidRPr="006D4958">
        <w:rPr>
          <w:rFonts w:ascii="Times" w:hAnsi="Times" w:cs="Times"/>
          <w:lang w:eastAsia="hu-HU"/>
        </w:rPr>
        <w:t>. 2%-ig. A parti sávban a sétányon és az építési helyeken kívül zöldfelületek, pihenő-, kilátó parkok és játszóterek létesíthetők.”</w:t>
      </w:r>
    </w:p>
    <w:p w:rsidR="00AF3E3A" w:rsidRPr="006D4958" w:rsidRDefault="00AF3E3A" w:rsidP="00AF3E3A">
      <w:pPr>
        <w:jc w:val="both"/>
      </w:pPr>
    </w:p>
    <w:p w:rsidR="00AF3E3A" w:rsidRPr="006D4958" w:rsidRDefault="00AF3E3A" w:rsidP="00AF3E3A">
      <w:pPr>
        <w:jc w:val="both"/>
      </w:pPr>
      <w:r w:rsidRPr="006D4958">
        <w:rPr>
          <w:b/>
          <w:bCs/>
        </w:rPr>
        <w:t>4. §</w:t>
      </w:r>
      <w:r w:rsidRPr="006D4958">
        <w:t xml:space="preserve"> Záró és hatályba léptető rendelkezések: </w:t>
      </w:r>
    </w:p>
    <w:p w:rsidR="00AF3E3A" w:rsidRPr="006D4958" w:rsidRDefault="00AF3E3A" w:rsidP="00AF3E3A">
      <w:pPr>
        <w:jc w:val="both"/>
      </w:pPr>
    </w:p>
    <w:p w:rsidR="00AF3E3A" w:rsidRPr="006D4958" w:rsidRDefault="00AF3E3A" w:rsidP="00AF3E3A">
      <w:pPr>
        <w:jc w:val="both"/>
      </w:pPr>
      <w:r w:rsidRPr="006D4958">
        <w:t>(1) Hatályát veszti a R. 46 § (11) bekezdés e)</w:t>
      </w:r>
      <w:r>
        <w:t>, i),</w:t>
      </w:r>
      <w:r w:rsidRPr="006D4958">
        <w:t xml:space="preserve"> j), k) és l) pontja</w:t>
      </w:r>
      <w:r>
        <w:t>, a 46. § (14) bekezdés a) pontja.</w:t>
      </w:r>
    </w:p>
    <w:p w:rsidR="00AF3E3A" w:rsidRPr="006D4958" w:rsidRDefault="00AF3E3A" w:rsidP="00AF3E3A">
      <w:pPr>
        <w:jc w:val="both"/>
      </w:pPr>
    </w:p>
    <w:p w:rsidR="00AF3E3A" w:rsidRPr="006D4958" w:rsidRDefault="00AF3E3A" w:rsidP="00AF3E3A">
      <w:pPr>
        <w:jc w:val="both"/>
      </w:pPr>
      <w:r w:rsidRPr="006D4958">
        <w:t xml:space="preserve">(2) Ez a rendelet az elfogadást követő 15. napon lép hatályba, rendelkezéseit a hatályba lépést követően indult államigazgatási ügyekben kell alkalmazni. Folyamatban levő, még el nem bírált engedély kérelmek esetében </w:t>
      </w:r>
      <w:r w:rsidRPr="006D4958">
        <w:rPr>
          <w:shd w:val="clear" w:color="auto" w:fill="FFFFFF"/>
        </w:rPr>
        <w:t>amennyiben építtető számára kedvezőbbek a jelen rendelettel elfogadott módosítások, azokat az eljárás során alkalmazni lehet.</w:t>
      </w:r>
    </w:p>
    <w:p w:rsidR="00AF3E3A" w:rsidRPr="006D4958" w:rsidRDefault="00AF3E3A" w:rsidP="00AF3E3A">
      <w:pPr>
        <w:tabs>
          <w:tab w:val="center" w:pos="1701"/>
          <w:tab w:val="center" w:pos="4536"/>
          <w:tab w:val="center" w:pos="7655"/>
        </w:tabs>
        <w:jc w:val="both"/>
      </w:pPr>
    </w:p>
    <w:p w:rsidR="00AF3E3A" w:rsidRPr="006D4958" w:rsidRDefault="00AF3E3A" w:rsidP="00AF3E3A">
      <w:pPr>
        <w:jc w:val="both"/>
        <w:rPr>
          <w:shd w:val="clear" w:color="auto" w:fill="FFFFFF"/>
        </w:rPr>
      </w:pPr>
      <w:r w:rsidRPr="006D4958">
        <w:rPr>
          <w:shd w:val="clear" w:color="auto" w:fill="FFFFFF"/>
        </w:rPr>
        <w:t>(3) Ez a rendelet az elfogadását követő 16. napon hatályát veszti.</w:t>
      </w:r>
    </w:p>
    <w:p w:rsidR="00AF3E3A" w:rsidRPr="006D4958" w:rsidRDefault="00AF3E3A" w:rsidP="00AF3E3A">
      <w:pPr>
        <w:jc w:val="both"/>
        <w:rPr>
          <w:shd w:val="clear" w:color="auto" w:fill="FFFFFF"/>
        </w:rPr>
      </w:pPr>
    </w:p>
    <w:p w:rsidR="00AF3E3A" w:rsidRPr="006D4958" w:rsidRDefault="00AF3E3A" w:rsidP="00AF3E3A">
      <w:pPr>
        <w:jc w:val="both"/>
      </w:pPr>
    </w:p>
    <w:p w:rsidR="00AF3E3A" w:rsidRPr="006D4958" w:rsidRDefault="00AF3E3A" w:rsidP="00AF3E3A">
      <w:pPr>
        <w:jc w:val="both"/>
      </w:pPr>
    </w:p>
    <w:p w:rsidR="00AF3E3A" w:rsidRPr="006D4958" w:rsidRDefault="00AF3E3A" w:rsidP="00AF3E3A">
      <w:pPr>
        <w:jc w:val="both"/>
      </w:pPr>
    </w:p>
    <w:p w:rsidR="00AF3E3A" w:rsidRPr="006D4958" w:rsidRDefault="00AF3E3A" w:rsidP="00AF3E3A">
      <w:pPr>
        <w:jc w:val="both"/>
      </w:pPr>
    </w:p>
    <w:p w:rsidR="00AF3E3A" w:rsidRPr="006D4958" w:rsidRDefault="00AF3E3A" w:rsidP="00AF3E3A">
      <w:pPr>
        <w:jc w:val="both"/>
      </w:pPr>
      <w:r w:rsidRPr="006D4958">
        <w:tab/>
      </w:r>
      <w:r w:rsidRPr="006D4958">
        <w:tab/>
        <w:t>Tóth István</w:t>
      </w:r>
      <w:r w:rsidRPr="006D4958">
        <w:tab/>
      </w:r>
      <w:r w:rsidRPr="006D4958">
        <w:tab/>
      </w:r>
      <w:r w:rsidRPr="006D4958">
        <w:tab/>
      </w:r>
      <w:r w:rsidRPr="006D4958">
        <w:tab/>
      </w:r>
      <w:r w:rsidRPr="006D4958">
        <w:tab/>
        <w:t>Kovácsné dr. Bozsoki Kornélia</w:t>
      </w:r>
    </w:p>
    <w:p w:rsidR="00AF3E3A" w:rsidRPr="006D4958" w:rsidRDefault="00AF3E3A" w:rsidP="00AF3E3A">
      <w:pPr>
        <w:jc w:val="both"/>
      </w:pPr>
      <w:r w:rsidRPr="006D4958">
        <w:tab/>
      </w:r>
      <w:r w:rsidRPr="006D4958">
        <w:tab/>
      </w:r>
      <w:proofErr w:type="gramStart"/>
      <w:r w:rsidRPr="006D4958">
        <w:t>polgármester</w:t>
      </w:r>
      <w:proofErr w:type="gramEnd"/>
      <w:r w:rsidRPr="006D4958">
        <w:tab/>
      </w:r>
      <w:r w:rsidRPr="006D4958">
        <w:tab/>
      </w:r>
      <w:r w:rsidRPr="006D4958">
        <w:tab/>
      </w:r>
      <w:r w:rsidRPr="006D4958">
        <w:tab/>
      </w:r>
      <w:r w:rsidRPr="006D4958">
        <w:tab/>
      </w:r>
      <w:r w:rsidRPr="006D4958">
        <w:tab/>
        <w:t xml:space="preserve">  jegyző</w:t>
      </w:r>
    </w:p>
    <w:p w:rsidR="00AF3E3A" w:rsidRPr="006D4958" w:rsidRDefault="00AF3E3A" w:rsidP="00AF3E3A">
      <w:pPr>
        <w:jc w:val="both"/>
      </w:pPr>
    </w:p>
    <w:p w:rsidR="00AF3E3A" w:rsidRPr="006D4958" w:rsidRDefault="00AF3E3A" w:rsidP="00AF3E3A">
      <w:pPr>
        <w:jc w:val="both"/>
      </w:pPr>
    </w:p>
    <w:p w:rsidR="00AF3E3A" w:rsidRPr="006D4958" w:rsidRDefault="00AF3E3A" w:rsidP="00AF3E3A">
      <w:pPr>
        <w:jc w:val="both"/>
      </w:pPr>
    </w:p>
    <w:p w:rsidR="00AF3E3A" w:rsidRPr="006D4958" w:rsidRDefault="00AF3E3A" w:rsidP="00AF3E3A">
      <w:pPr>
        <w:jc w:val="both"/>
      </w:pPr>
    </w:p>
    <w:p w:rsidR="00AF3E3A" w:rsidRPr="006D4958" w:rsidRDefault="00AF3E3A" w:rsidP="00AF3E3A">
      <w:pPr>
        <w:jc w:val="both"/>
      </w:pPr>
      <w:r w:rsidRPr="006D4958">
        <w:t>Jelen önkormányzati rendelet 2017. …</w:t>
      </w:r>
      <w:proofErr w:type="gramStart"/>
      <w:r w:rsidRPr="006D4958">
        <w:t>………….</w:t>
      </w:r>
      <w:proofErr w:type="gramEnd"/>
      <w:r w:rsidRPr="006D4958">
        <w:t>-án kihirdetésre került.</w:t>
      </w:r>
    </w:p>
    <w:p w:rsidR="00AF3E3A" w:rsidRPr="006D4958" w:rsidRDefault="00AF3E3A" w:rsidP="00AF3E3A">
      <w:pPr>
        <w:jc w:val="both"/>
      </w:pPr>
    </w:p>
    <w:p w:rsidR="00AF3E3A" w:rsidRPr="006D4958" w:rsidRDefault="00AF3E3A" w:rsidP="00AF3E3A">
      <w:pPr>
        <w:jc w:val="both"/>
      </w:pPr>
    </w:p>
    <w:p w:rsidR="00AF3E3A" w:rsidRPr="006D4958" w:rsidRDefault="00AF3E3A" w:rsidP="00AF3E3A">
      <w:pPr>
        <w:jc w:val="both"/>
      </w:pPr>
    </w:p>
    <w:p w:rsidR="00AF3E3A" w:rsidRPr="006D4958" w:rsidRDefault="00AF3E3A" w:rsidP="00AF3E3A">
      <w:pPr>
        <w:jc w:val="both"/>
      </w:pPr>
    </w:p>
    <w:p w:rsidR="00AF3E3A" w:rsidRPr="006D4958" w:rsidRDefault="00AF3E3A" w:rsidP="00AF3E3A">
      <w:pPr>
        <w:jc w:val="both"/>
      </w:pPr>
    </w:p>
    <w:p w:rsidR="00AF3E3A" w:rsidRPr="006D4958" w:rsidRDefault="00AF3E3A" w:rsidP="00AF3E3A">
      <w:pPr>
        <w:ind w:left="4956" w:firstLine="708"/>
        <w:jc w:val="both"/>
      </w:pPr>
      <w:r w:rsidRPr="006D4958">
        <w:t>Kovácsné dr. Bozsoki Kornélia</w:t>
      </w:r>
    </w:p>
    <w:p w:rsidR="00AF3E3A" w:rsidRPr="006D4958" w:rsidRDefault="00AF3E3A" w:rsidP="00AF3E3A">
      <w:pPr>
        <w:jc w:val="both"/>
      </w:pPr>
      <w:r w:rsidRPr="006D4958">
        <w:t xml:space="preserve">  </w:t>
      </w:r>
      <w:r w:rsidRPr="006D4958">
        <w:tab/>
      </w:r>
      <w:r w:rsidRPr="006D4958">
        <w:tab/>
      </w:r>
      <w:r w:rsidRPr="006D4958">
        <w:tab/>
      </w:r>
      <w:r w:rsidRPr="006D4958">
        <w:tab/>
      </w:r>
      <w:r w:rsidRPr="006D4958">
        <w:tab/>
      </w:r>
      <w:r w:rsidRPr="006D4958">
        <w:tab/>
      </w:r>
      <w:r w:rsidRPr="006D4958">
        <w:tab/>
      </w:r>
      <w:r w:rsidRPr="006D4958">
        <w:tab/>
      </w:r>
      <w:r w:rsidRPr="006D4958">
        <w:tab/>
        <w:t xml:space="preserve">   jegyző</w:t>
      </w:r>
      <w:r w:rsidRPr="006D4958">
        <w:tab/>
      </w:r>
      <w:r w:rsidRPr="006D4958">
        <w:tab/>
      </w:r>
      <w:r w:rsidRPr="006D4958">
        <w:tab/>
      </w:r>
      <w:r w:rsidRPr="006D4958">
        <w:tab/>
      </w:r>
      <w:r w:rsidRPr="006D4958">
        <w:tab/>
      </w:r>
      <w:r w:rsidRPr="006D4958">
        <w:tab/>
      </w:r>
    </w:p>
    <w:p w:rsidR="00AF3E3A" w:rsidRPr="006D4958" w:rsidRDefault="00AF3E3A" w:rsidP="00AF3E3A">
      <w:pPr>
        <w:tabs>
          <w:tab w:val="center" w:pos="1701"/>
          <w:tab w:val="center" w:pos="4536"/>
          <w:tab w:val="center" w:pos="7655"/>
        </w:tabs>
        <w:jc w:val="both"/>
        <w:rPr>
          <w:sz w:val="22"/>
          <w:szCs w:val="22"/>
        </w:rPr>
      </w:pPr>
    </w:p>
    <w:p w:rsidR="009C1591" w:rsidRDefault="009C1591" w:rsidP="00B54586">
      <w:pPr>
        <w:pStyle w:val="Cmsor1"/>
        <w:ind w:left="0"/>
        <w:rPr>
          <w:b w:val="0"/>
          <w:sz w:val="22"/>
          <w:szCs w:val="22"/>
        </w:rPr>
      </w:pPr>
    </w:p>
    <w:p w:rsidR="009C1591" w:rsidRDefault="009C1591" w:rsidP="00B54586">
      <w:pPr>
        <w:pStyle w:val="Cmsor1"/>
        <w:ind w:left="0"/>
        <w:rPr>
          <w:b w:val="0"/>
          <w:sz w:val="22"/>
          <w:szCs w:val="22"/>
        </w:rPr>
      </w:pPr>
    </w:p>
    <w:p w:rsidR="00AF3E3A" w:rsidRPr="006D4958" w:rsidRDefault="00AF3E3A" w:rsidP="00B54586">
      <w:pPr>
        <w:pStyle w:val="Cmsor1"/>
        <w:ind w:left="0"/>
      </w:pPr>
      <w:bookmarkStart w:id="1" w:name="_GoBack"/>
      <w:bookmarkEnd w:id="1"/>
      <w:r w:rsidRPr="006D4958">
        <w:t xml:space="preserve">Mellékletek:  </w:t>
      </w:r>
    </w:p>
    <w:p w:rsidR="00AF3E3A" w:rsidRPr="006D4958" w:rsidRDefault="00AF3E3A" w:rsidP="00AF3E3A"/>
    <w:p w:rsidR="00AF3E3A" w:rsidRPr="006D4958" w:rsidRDefault="00AF3E3A" w:rsidP="00AF3E3A"/>
    <w:p w:rsidR="00AF3E3A" w:rsidRPr="006D4958" w:rsidRDefault="00AF3E3A" w:rsidP="00AF3E3A">
      <w:pPr>
        <w:pStyle w:val="Cmsor1"/>
        <w:numPr>
          <w:ilvl w:val="0"/>
          <w:numId w:val="1"/>
        </w:numPr>
      </w:pPr>
      <w:r w:rsidRPr="006D4958">
        <w:t xml:space="preserve">A belterületi szabályozási terv – 4.4/1/M jelű </w:t>
      </w:r>
      <w:proofErr w:type="spellStart"/>
      <w:r w:rsidRPr="006D4958">
        <w:t>fedvényterve</w:t>
      </w:r>
      <w:proofErr w:type="spellEnd"/>
      <w:r w:rsidRPr="006D4958">
        <w:t xml:space="preserve"> (1. számú módosítás)</w:t>
      </w:r>
    </w:p>
    <w:p w:rsidR="00AF3E3A" w:rsidRPr="006D4958" w:rsidRDefault="00AF3E3A" w:rsidP="00AF3E3A">
      <w:pPr>
        <w:pStyle w:val="Cmsor1"/>
        <w:numPr>
          <w:ilvl w:val="0"/>
          <w:numId w:val="1"/>
        </w:numPr>
      </w:pPr>
      <w:r w:rsidRPr="006D4958">
        <w:t xml:space="preserve">A belterületi szabályozási terv – 7.2/1/M2 jelű </w:t>
      </w:r>
      <w:proofErr w:type="spellStart"/>
      <w:r w:rsidRPr="006D4958">
        <w:t>fedvényterve</w:t>
      </w:r>
      <w:proofErr w:type="spellEnd"/>
      <w:r w:rsidRPr="006D4958">
        <w:t xml:space="preserve"> (2. számú módosítás)</w:t>
      </w:r>
    </w:p>
    <w:p w:rsidR="00AF3E3A" w:rsidRPr="006D4958" w:rsidRDefault="00AF3E3A" w:rsidP="00AF3E3A">
      <w:pPr>
        <w:pStyle w:val="Cmsor1"/>
        <w:numPr>
          <w:ilvl w:val="0"/>
          <w:numId w:val="1"/>
        </w:numPr>
      </w:pPr>
      <w:r w:rsidRPr="006D4958">
        <w:t xml:space="preserve">A belterületi szabályozási terv – 7.2/3/M2 jelű </w:t>
      </w:r>
      <w:proofErr w:type="spellStart"/>
      <w:r w:rsidRPr="006D4958">
        <w:t>fedvényterve</w:t>
      </w:r>
      <w:proofErr w:type="spellEnd"/>
      <w:r w:rsidRPr="006D4958">
        <w:t xml:space="preserve"> (2. számú módosítás)</w:t>
      </w:r>
    </w:p>
    <w:p w:rsidR="00AF3E3A" w:rsidRPr="006D4958" w:rsidRDefault="00AF3E3A" w:rsidP="00AF3E3A">
      <w:pPr>
        <w:pStyle w:val="Cmsor1"/>
        <w:ind w:left="1146"/>
      </w:pPr>
    </w:p>
    <w:p w:rsidR="009A61CE" w:rsidRDefault="009A61CE"/>
    <w:sectPr w:rsidR="009A6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2A"/>
    <w:multiLevelType w:val="hybridMultilevel"/>
    <w:tmpl w:val="568A5E08"/>
    <w:lvl w:ilvl="0" w:tplc="03D07C5C">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3A"/>
    <w:rsid w:val="000559AC"/>
    <w:rsid w:val="009A61CE"/>
    <w:rsid w:val="009C1591"/>
    <w:rsid w:val="00AF3E3A"/>
    <w:rsid w:val="00B545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3E3A"/>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AF3E3A"/>
    <w:pPr>
      <w:keepNext/>
      <w:tabs>
        <w:tab w:val="left" w:pos="360"/>
      </w:tabs>
      <w:ind w:left="360"/>
      <w:jc w:val="both"/>
      <w:outlineLvl w:val="0"/>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F3E3A"/>
    <w:rPr>
      <w:rFonts w:ascii="Times New Roman" w:eastAsia="Times New Roman" w:hAnsi="Times New Roman" w:cs="Times New Roman"/>
      <w:b/>
      <w:sz w:val="28"/>
      <w:szCs w:val="20"/>
      <w:lang w:eastAsia="ar-SA"/>
    </w:rPr>
  </w:style>
  <w:style w:type="paragraph" w:customStyle="1" w:styleId="Default">
    <w:name w:val="Default"/>
    <w:uiPriority w:val="99"/>
    <w:rsid w:val="00AF3E3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3E3A"/>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AF3E3A"/>
    <w:pPr>
      <w:keepNext/>
      <w:tabs>
        <w:tab w:val="left" w:pos="360"/>
      </w:tabs>
      <w:ind w:left="360"/>
      <w:jc w:val="both"/>
      <w:outlineLvl w:val="0"/>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F3E3A"/>
    <w:rPr>
      <w:rFonts w:ascii="Times New Roman" w:eastAsia="Times New Roman" w:hAnsi="Times New Roman" w:cs="Times New Roman"/>
      <w:b/>
      <w:sz w:val="28"/>
      <w:szCs w:val="20"/>
      <w:lang w:eastAsia="ar-SA"/>
    </w:rPr>
  </w:style>
  <w:style w:type="paragraph" w:customStyle="1" w:styleId="Default">
    <w:name w:val="Default"/>
    <w:uiPriority w:val="99"/>
    <w:rsid w:val="00AF3E3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manyhivatal.hu/hu/pest/szervezeti-egysegek/foldmuvelesugyi-es-erdogazdalkodasi-fooszta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3707</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BBea</dc:creator>
  <cp:keywords/>
  <dc:description/>
  <cp:lastModifiedBy>keilbach_j</cp:lastModifiedBy>
  <cp:revision>3</cp:revision>
  <dcterms:created xsi:type="dcterms:W3CDTF">2017-06-13T08:12:00Z</dcterms:created>
  <dcterms:modified xsi:type="dcterms:W3CDTF">2017-06-13T09:32:00Z</dcterms:modified>
</cp:coreProperties>
</file>